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GoBack"/>
      <w:bookmarkEnd w:id="0"/>
      <w:r>
        <w:rPr>
          <w:b/>
          <w:sz w:val="24"/>
        </w:rPr>
        <w:t>3GPP TSG-SA</w:t>
      </w:r>
      <w:r>
        <w:rPr>
          <w:rFonts w:hint="default"/>
          <w:b/>
          <w:sz w:val="24"/>
          <w:lang w:val="en-US"/>
        </w:rPr>
        <w:t>5</w:t>
      </w:r>
      <w:r>
        <w:rPr>
          <w:b/>
          <w:sz w:val="24"/>
        </w:rPr>
        <w:t xml:space="preserve"> Meeting #1</w:t>
      </w:r>
      <w:r>
        <w:rPr>
          <w:rFonts w:hint="default"/>
          <w:b/>
          <w:sz w:val="24"/>
          <w:lang w:val="en-US"/>
        </w:rPr>
        <w:t>47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</w:t>
      </w:r>
      <w:r>
        <w:rPr>
          <w:rFonts w:hint="default"/>
          <w:b/>
          <w:i/>
          <w:sz w:val="28"/>
          <w:lang w:val="en-US"/>
        </w:rPr>
        <w:t>5</w:t>
      </w:r>
      <w:r>
        <w:rPr>
          <w:b/>
          <w:i/>
          <w:sz w:val="28"/>
        </w:rPr>
        <w:t>-23</w:t>
      </w:r>
      <w:r>
        <w:rPr>
          <w:rFonts w:hint="default"/>
          <w:b/>
          <w:i/>
          <w:sz w:val="28"/>
          <w:lang w:val="en-US"/>
        </w:rPr>
        <w:t>2737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sz w:val="24"/>
          <w:lang w:eastAsia="zh-CN"/>
        </w:rPr>
      </w:pPr>
      <w:r>
        <w:rPr>
          <w:b/>
          <w:bCs/>
          <w:sz w:val="24"/>
        </w:rPr>
        <w:t xml:space="preserve">Athens, Greece, </w:t>
      </w:r>
      <w:r>
        <w:rPr>
          <w:rFonts w:hint="eastAsia"/>
          <w:b/>
          <w:bCs/>
          <w:sz w:val="24"/>
        </w:rPr>
        <w:t>27th February - 3rd March 2023</w:t>
      </w:r>
      <w:r>
        <w:tab/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hint="eastAsia" w:eastAsia="Batang" w:cs="Arial"/>
          <w:sz w:val="20"/>
          <w:lang w:eastAsia="zh-CN"/>
        </w:rPr>
        <w:t>S5-232430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Charging Aspects for Enhanced Support of Non-Public Networks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7.2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  <w:t xml:space="preserve">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Charging Aspects for Enhanced Support of Non-Public Networks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3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: eNPN_CH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3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3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18</w:t>
      </w:r>
    </w:p>
    <w:p>
      <w:pPr>
        <w:pStyle w:val="23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3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7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7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7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27"/>
            </w:pPr>
            <w:r>
              <w:t>X</w:t>
            </w:r>
          </w:p>
        </w:tc>
        <w:tc>
          <w:tcPr>
            <w:tcW w:w="850" w:type="dxa"/>
          </w:tcPr>
          <w:p>
            <w:pPr>
              <w:pStyle w:val="27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5"/>
            </w:pPr>
            <w:r>
              <w:rPr>
                <w:rFonts w:hint="eastAsia"/>
              </w:rPr>
              <w:t>FS_eNPN_CH</w:t>
            </w:r>
          </w:p>
        </w:tc>
        <w:tc>
          <w:tcPr>
            <w:tcW w:w="1101" w:type="dxa"/>
            <w:vAlign w:val="top"/>
          </w:tcPr>
          <w:p>
            <w:pPr>
              <w:pStyle w:val="25"/>
            </w:pPr>
            <w:r>
              <w:t>SA5</w:t>
            </w:r>
          </w:p>
        </w:tc>
        <w:tc>
          <w:tcPr>
            <w:tcW w:w="1101" w:type="dxa"/>
            <w:vAlign w:val="top"/>
          </w:tcPr>
          <w:p>
            <w:pPr>
              <w:pStyle w:val="25"/>
            </w:pPr>
            <w:r>
              <w:rPr>
                <w:rFonts w:hint="eastAsia"/>
              </w:rPr>
              <w:t>940043</w:t>
            </w:r>
          </w:p>
        </w:tc>
        <w:tc>
          <w:tcPr>
            <w:tcW w:w="6010" w:type="dxa"/>
            <w:vAlign w:val="top"/>
          </w:tcPr>
          <w:p>
            <w:pPr>
              <w:pStyle w:val="25"/>
            </w:pPr>
            <w:r>
              <w:rPr>
                <w:rFonts w:hint="eastAsia"/>
              </w:rPr>
              <w:t>Study on Charging Aspects for Enhanced Support of Non-Public Networks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6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6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5"/>
            </w:pPr>
            <w:r>
              <w:t>800007</w:t>
            </w:r>
          </w:p>
        </w:tc>
        <w:tc>
          <w:tcPr>
            <w:tcW w:w="3326" w:type="dxa"/>
            <w:vAlign w:val="top"/>
          </w:tcPr>
          <w:p>
            <w:pPr>
              <w:pStyle w:val="25"/>
            </w:pPr>
            <w:r>
              <w:t>Service requirements for cyber-physical control applications in vertical domains</w:t>
            </w:r>
          </w:p>
        </w:tc>
        <w:tc>
          <w:tcPr>
            <w:tcW w:w="5099" w:type="dxa"/>
            <w:vAlign w:val="top"/>
          </w:tcPr>
          <w:p>
            <w:pPr>
              <w:pStyle w:val="31"/>
            </w:pPr>
            <w:r>
              <w:rPr>
                <w:sz w:val="20"/>
              </w:rPr>
              <w:t>SA1 work item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5"/>
            </w:pPr>
            <w:r>
              <w:t>820017</w:t>
            </w:r>
          </w:p>
        </w:tc>
        <w:tc>
          <w:tcPr>
            <w:tcW w:w="3326" w:type="dxa"/>
            <w:vAlign w:val="top"/>
          </w:tcPr>
          <w:p>
            <w:pPr>
              <w:pStyle w:val="25"/>
            </w:pPr>
            <w:r>
              <w:t>5GS Enhanced support of Vertical and LAN Services</w:t>
            </w:r>
          </w:p>
        </w:tc>
        <w:tc>
          <w:tcPr>
            <w:tcW w:w="5099" w:type="dxa"/>
            <w:vAlign w:val="top"/>
          </w:tcPr>
          <w:p>
            <w:pPr>
              <w:pStyle w:val="31"/>
            </w:pPr>
            <w:r>
              <w:rPr>
                <w:sz w:val="20"/>
              </w:rPr>
              <w:t>SA2 stage 2 work item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5"/>
            </w:pPr>
            <w:r>
              <w:t>900015</w:t>
            </w:r>
          </w:p>
        </w:tc>
        <w:tc>
          <w:tcPr>
            <w:tcW w:w="3326" w:type="dxa"/>
            <w:vAlign w:val="top"/>
          </w:tcPr>
          <w:p>
            <w:pPr>
              <w:pStyle w:val="25"/>
            </w:pPr>
            <w:r>
              <w:t>Enhanced support of Non-Public Networks</w:t>
            </w:r>
          </w:p>
        </w:tc>
        <w:tc>
          <w:tcPr>
            <w:tcW w:w="5099" w:type="dxa"/>
            <w:vAlign w:val="top"/>
          </w:tcPr>
          <w:p>
            <w:pPr>
              <w:pStyle w:val="31"/>
            </w:pPr>
            <w:r>
              <w:rPr>
                <w:sz w:val="20"/>
              </w:rPr>
              <w:t>SA2 stage 2 work item</w:t>
            </w:r>
          </w:p>
        </w:tc>
      </w:tr>
    </w:tbl>
    <w:p>
      <w:pPr>
        <w:pStyle w:val="28"/>
      </w:pPr>
    </w:p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 Non-Public Network</w:t>
      </w:r>
      <w:r>
        <w:rPr>
          <w:rFonts w:hint="default"/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is a 5GS deployed for non-public use.</w:t>
      </w:r>
      <w:r>
        <w:rPr>
          <w:rFonts w:hint="default"/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Non-Public Network</w:t>
      </w:r>
      <w:r>
        <w:rPr>
          <w:rFonts w:hint="default"/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has been supported in 3GPP, in terms of: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Non-Public Network</w:t>
      </w:r>
      <w:r>
        <w:rPr>
          <w:rFonts w:eastAsia="等线"/>
          <w:color w:val="000000"/>
          <w:lang w:eastAsia="ja-JP"/>
        </w:rPr>
        <w:t xml:space="preserve"> service requirements</w:t>
      </w:r>
      <w:r>
        <w:rPr>
          <w:color w:val="000000"/>
          <w:lang w:eastAsia="ja-JP"/>
        </w:rPr>
        <w:t xml:space="preserve"> as specified in </w:t>
      </w:r>
      <w:r>
        <w:rPr>
          <w:rFonts w:eastAsia="等线"/>
          <w:color w:val="000000"/>
          <w:lang w:eastAsia="ja-JP"/>
        </w:rPr>
        <w:t>TS 22.261</w:t>
      </w:r>
      <w:r>
        <w:rPr>
          <w:color w:val="000000"/>
          <w:lang w:eastAsia="ja-JP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hint="default"/>
          <w:color w:val="000000"/>
          <w:lang w:val="en-US" w:eastAsia="ja-JP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>
        <w:rPr>
          <w:rFonts w:hint="default"/>
          <w:color w:val="000000"/>
          <w:lang w:val="en-US" w:eastAsia="zh-CN"/>
        </w:rPr>
        <w:t>S</w:t>
      </w:r>
      <w:r>
        <w:rPr>
          <w:color w:val="000000"/>
          <w:lang w:eastAsia="ja-JP"/>
        </w:rPr>
        <w:t>ystem architecture</w:t>
      </w:r>
      <w:r>
        <w:rPr>
          <w:rFonts w:hint="default"/>
          <w:color w:val="000000"/>
          <w:lang w:val="en-US" w:eastAsia="ja-JP"/>
        </w:rPr>
        <w:t xml:space="preserve"> and p</w:t>
      </w:r>
      <w:r>
        <w:rPr>
          <w:color w:val="000000"/>
          <w:lang w:eastAsia="ja-JP"/>
        </w:rPr>
        <w:t>rocedures</w:t>
      </w:r>
      <w:r>
        <w:rPr>
          <w:rFonts w:hint="default"/>
          <w:color w:val="000000"/>
          <w:lang w:val="en-US" w:eastAsia="ja-JP"/>
        </w:rPr>
        <w:t xml:space="preserve"> for the 5G System supporting </w:t>
      </w:r>
      <w:r>
        <w:rPr>
          <w:color w:val="000000"/>
          <w:lang w:eastAsia="ja-JP"/>
        </w:rPr>
        <w:t>Non-Public Network</w:t>
      </w:r>
      <w:r>
        <w:rPr>
          <w:color w:val="000000"/>
          <w:lang w:val="en-IN" w:eastAsia="ja-JP"/>
        </w:rPr>
        <w:t xml:space="preserve"> as specified in </w:t>
      </w:r>
      <w:r>
        <w:rPr>
          <w:color w:val="000000"/>
          <w:lang w:eastAsia="ja-JP"/>
        </w:rPr>
        <w:t xml:space="preserve">TS </w:t>
      </w:r>
      <w:r>
        <w:rPr>
          <w:rFonts w:eastAsia="等线"/>
          <w:color w:val="000000"/>
          <w:lang w:eastAsia="ja-JP"/>
        </w:rPr>
        <w:t>23.501</w:t>
      </w:r>
      <w:r>
        <w:rPr>
          <w:color w:val="000000"/>
          <w:lang w:eastAsia="ja-JP"/>
        </w:rPr>
        <w:t xml:space="preserve">, TS </w:t>
      </w:r>
      <w:r>
        <w:rPr>
          <w:rFonts w:eastAsia="等线"/>
          <w:color w:val="000000"/>
          <w:lang w:eastAsia="ja-JP"/>
        </w:rPr>
        <w:t>23.50</w:t>
      </w:r>
      <w:r>
        <w:rPr>
          <w:rFonts w:hint="eastAsia" w:eastAsia="等线"/>
          <w:color w:val="000000"/>
          <w:lang w:eastAsia="zh-CN"/>
        </w:rPr>
        <w:t>2</w:t>
      </w:r>
      <w:r>
        <w:rPr>
          <w:color w:val="000000"/>
          <w:lang w:eastAsia="ja-JP"/>
        </w:rPr>
        <w:t xml:space="preserve">, TS </w:t>
      </w:r>
      <w:r>
        <w:rPr>
          <w:rFonts w:eastAsia="等线"/>
          <w:color w:val="000000"/>
          <w:lang w:eastAsia="ja-JP"/>
        </w:rPr>
        <w:t>23.50</w:t>
      </w:r>
      <w:r>
        <w:rPr>
          <w:rFonts w:hint="eastAsia" w:eastAsia="等线"/>
          <w:color w:val="000000"/>
          <w:lang w:eastAsia="zh-CN"/>
        </w:rPr>
        <w:t>3</w:t>
      </w:r>
      <w:r>
        <w:rPr>
          <w:color w:val="000000"/>
          <w:lang w:eastAsia="ja-JP"/>
        </w:rPr>
        <w:t xml:space="preserve">, TS </w:t>
      </w:r>
      <w:r>
        <w:rPr>
          <w:rFonts w:eastAsia="等线"/>
          <w:color w:val="000000"/>
          <w:lang w:eastAsia="ja-JP"/>
        </w:rPr>
        <w:t>23.</w:t>
      </w:r>
      <w:r>
        <w:rPr>
          <w:rFonts w:hint="eastAsia" w:eastAsia="等线"/>
          <w:color w:val="000000"/>
          <w:lang w:eastAsia="zh-CN"/>
        </w:rPr>
        <w:t xml:space="preserve">228 </w:t>
      </w:r>
      <w:r>
        <w:rPr>
          <w:rFonts w:eastAsia="等线"/>
          <w:color w:val="000000"/>
          <w:lang w:eastAsia="ja-JP"/>
        </w:rPr>
        <w:t>and TS 23.</w:t>
      </w:r>
      <w:r>
        <w:rPr>
          <w:rFonts w:hint="eastAsia" w:eastAsia="等线"/>
          <w:color w:val="000000"/>
          <w:lang w:eastAsia="zh-CN"/>
        </w:rPr>
        <w:t>167</w:t>
      </w:r>
      <w:r>
        <w:rPr>
          <w:color w:val="000000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hint="default"/>
          <w:color w:val="000000"/>
          <w:lang w:val="en-US" w:eastAsia="ja-JP"/>
        </w:rPr>
      </w:pPr>
      <w:r>
        <w:rPr>
          <w:color w:val="000000"/>
          <w:lang w:eastAsia="ja-JP"/>
        </w:rPr>
        <w:t>SA5 has studied the charging aspect</w:t>
      </w:r>
      <w:r>
        <w:rPr>
          <w:rFonts w:hint="default"/>
          <w:color w:val="000000"/>
          <w:lang w:val="en-US" w:eastAsia="ja-JP"/>
        </w:rPr>
        <w:t>s</w:t>
      </w:r>
      <w:r>
        <w:rPr>
          <w:color w:val="000000"/>
          <w:lang w:eastAsia="ja-JP"/>
        </w:rPr>
        <w:t xml:space="preserve"> </w:t>
      </w:r>
      <w:r>
        <w:rPr>
          <w:rFonts w:hint="default"/>
          <w:color w:val="000000"/>
          <w:lang w:val="en-US" w:eastAsia="ja-JP"/>
        </w:rPr>
        <w:t xml:space="preserve">for enhanced support of </w:t>
      </w:r>
      <w:r>
        <w:rPr>
          <w:color w:val="000000"/>
          <w:lang w:eastAsia="ja-JP"/>
        </w:rPr>
        <w:t>Non-Public Network in TR 2</w:t>
      </w:r>
      <w:r>
        <w:rPr>
          <w:color w:val="000000"/>
          <w:lang w:val="en-US" w:eastAsia="ja-JP"/>
        </w:rPr>
        <w:t>8</w:t>
      </w:r>
      <w:r>
        <w:rPr>
          <w:color w:val="000000"/>
          <w:lang w:eastAsia="ja-JP"/>
        </w:rPr>
        <w:t>.</w:t>
      </w:r>
      <w:r>
        <w:rPr>
          <w:color w:val="000000"/>
          <w:lang w:val="en-US" w:eastAsia="ja-JP"/>
        </w:rPr>
        <w:t>828</w:t>
      </w:r>
      <w:r>
        <w:rPr>
          <w:color w:val="000000"/>
          <w:lang w:eastAsia="ja-JP"/>
        </w:rPr>
        <w:t>, which identified t</w:t>
      </w:r>
      <w:r>
        <w:rPr>
          <w:rFonts w:hint="default"/>
          <w:color w:val="000000"/>
          <w:lang w:val="en-US" w:eastAsia="ja-JP"/>
        </w:rPr>
        <w:t xml:space="preserve">he </w:t>
      </w:r>
      <w:r>
        <w:rPr>
          <w:color w:val="000000"/>
          <w:lang w:eastAsia="ja-JP"/>
        </w:rPr>
        <w:t xml:space="preserve">use cases, potential charging requirements, </w:t>
      </w:r>
      <w:r>
        <w:rPr>
          <w:rFonts w:hint="default"/>
          <w:color w:val="000000"/>
          <w:lang w:val="en-US" w:eastAsia="ja-JP"/>
        </w:rPr>
        <w:t xml:space="preserve">and </w:t>
      </w:r>
      <w:r>
        <w:rPr>
          <w:color w:val="000000"/>
          <w:lang w:eastAsia="ja-JP"/>
        </w:rPr>
        <w:t>key issues</w:t>
      </w:r>
      <w:r>
        <w:rPr>
          <w:rFonts w:hint="default"/>
          <w:color w:val="000000"/>
          <w:lang w:val="en-US" w:eastAsia="ja-JP"/>
        </w:rPr>
        <w:t xml:space="preserve">, </w:t>
      </w:r>
      <w:r>
        <w:rPr>
          <w:color w:val="000000"/>
          <w:lang w:eastAsia="ja-JP"/>
        </w:rPr>
        <w:t>and</w:t>
      </w:r>
      <w:r>
        <w:rPr>
          <w:rFonts w:hint="default"/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evaluated</w:t>
      </w:r>
      <w:r>
        <w:rPr>
          <w:rFonts w:hint="default"/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 xml:space="preserve">possible solutions for </w:t>
      </w:r>
      <w:r>
        <w:rPr>
          <w:rFonts w:hint="eastAsia"/>
          <w:color w:val="000000"/>
          <w:lang w:eastAsia="ja-JP"/>
        </w:rPr>
        <w:t>5G data connectivity usage per UE and per SNPN/PNI-NPN, network access and usage per UE and per SNPN/PNI-NPN, number of UEs and number of PDU sessions per SNPN/PNI-NPN</w:t>
      </w:r>
      <w:r>
        <w:rPr>
          <w:rFonts w:hint="default"/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for</w:t>
      </w:r>
      <w:r>
        <w:rPr>
          <w:rFonts w:hint="default"/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Non-Public Network</w:t>
      </w:r>
      <w:r>
        <w:rPr>
          <w:rFonts w:hint="default"/>
          <w:color w:val="000000"/>
          <w:lang w:val="en-US" w:eastAsia="ja-JP"/>
        </w:rPr>
        <w:t xml:space="preserve"> c</w:t>
      </w:r>
      <w:r>
        <w:rPr>
          <w:color w:val="000000"/>
          <w:lang w:eastAsia="ja-JP"/>
        </w:rPr>
        <w:t>harging</w:t>
      </w:r>
      <w:r>
        <w:rPr>
          <w:rFonts w:hint="default"/>
          <w:color w:val="000000"/>
          <w:lang w:val="en-US" w:eastAsia="ja-JP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color w:val="000000"/>
          <w:lang w:eastAsia="ja-JP"/>
        </w:rPr>
        <w:t>As recommended in TR 2</w:t>
      </w:r>
      <w:r>
        <w:rPr>
          <w:color w:val="000000"/>
          <w:lang w:val="en-US" w:eastAsia="ja-JP"/>
        </w:rPr>
        <w:t>8</w:t>
      </w:r>
      <w:r>
        <w:rPr>
          <w:color w:val="000000"/>
          <w:lang w:eastAsia="ja-JP"/>
        </w:rPr>
        <w:t>.</w:t>
      </w:r>
      <w:r>
        <w:rPr>
          <w:color w:val="000000"/>
          <w:lang w:val="en-US" w:eastAsia="ja-JP"/>
        </w:rPr>
        <w:t>828</w:t>
      </w:r>
      <w:r>
        <w:rPr>
          <w:color w:val="000000"/>
          <w:lang w:eastAsia="ja-JP"/>
        </w:rPr>
        <w:t>, normative</w:t>
      </w:r>
      <w:r>
        <w:rPr>
          <w:rFonts w:hint="default"/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work</w:t>
      </w:r>
      <w:r>
        <w:rPr>
          <w:rFonts w:hint="default"/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 xml:space="preserve">is required for </w:t>
      </w:r>
      <w:r>
        <w:rPr>
          <w:rFonts w:hint="eastAsia" w:eastAsia="Times New Roman"/>
          <w:color w:val="000000"/>
          <w:lang w:eastAsia="ja-JP"/>
        </w:rPr>
        <w:t>Non-Public Network charging</w:t>
      </w:r>
      <w:r>
        <w:rPr>
          <w:rFonts w:hint="default"/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in Rel-1</w:t>
      </w:r>
      <w:r>
        <w:rPr>
          <w:rFonts w:hint="default"/>
          <w:color w:val="000000"/>
          <w:lang w:val="en-US" w:eastAsia="ja-JP"/>
        </w:rPr>
        <w:t>8</w:t>
      </w:r>
      <w:r>
        <w:rPr>
          <w:color w:val="000000"/>
          <w:lang w:eastAsia="ja-JP"/>
        </w:rP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/>
          <w:color w:val="000000"/>
          <w:lang w:val="en-US" w:eastAsia="ja-JP"/>
        </w:rPr>
      </w:pPr>
      <w:r>
        <w:rPr>
          <w:color w:val="000000"/>
          <w:lang w:eastAsia="ja-JP"/>
        </w:rPr>
        <w:t>The objective of this work item is to</w:t>
      </w:r>
      <w:r>
        <w:rPr>
          <w:rFonts w:hint="default"/>
          <w:color w:val="000000"/>
          <w:lang w:val="en-US" w:eastAsia="ja-JP"/>
        </w:rPr>
        <w:t xml:space="preserve"> </w:t>
      </w:r>
      <w:r>
        <w:rPr>
          <w:rFonts w:hint="eastAsia" w:eastAsia="Times New Roman"/>
          <w:color w:val="000000"/>
          <w:lang w:eastAsia="ja-JP"/>
        </w:rPr>
        <w:t>specify charging architecture and charging information for</w:t>
      </w:r>
      <w:r>
        <w:rPr>
          <w:rFonts w:hint="default"/>
          <w:color w:val="000000"/>
          <w:lang w:val="en-US" w:eastAsia="ja-JP"/>
        </w:rPr>
        <w:t xml:space="preserve"> 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hint="default" w:ascii="Times New Roman" w:hAnsi="Times New Roman" w:eastAsia="Times New Roman" w:cs="Times New Roman"/>
          <w:color w:val="000000"/>
          <w:lang w:val="en-US" w:eastAsia="en-US"/>
        </w:rPr>
      </w:pPr>
      <w:r>
        <w:rPr>
          <w:rFonts w:ascii="Times New Roman" w:hAnsi="Times New Roman" w:eastAsia="Times New Roman" w:cs="Times New Roman"/>
          <w:color w:val="000000"/>
          <w:lang w:val="en-GB" w:eastAsia="en-US"/>
        </w:rPr>
        <w:t>-</w:t>
      </w:r>
      <w:r>
        <w:rPr>
          <w:rFonts w:ascii="Times New Roman" w:hAnsi="Times New Roman" w:eastAsia="Times New Roman" w:cs="Times New Roman"/>
          <w:color w:val="000000"/>
          <w:lang w:val="en-GB" w:eastAsia="en-US"/>
        </w:rPr>
        <w:tab/>
      </w:r>
      <w:r>
        <w:rPr>
          <w:rFonts w:hint="eastAsia" w:ascii="Times New Roman" w:hAnsi="Times New Roman" w:eastAsia="Times New Roman" w:cs="Times New Roman"/>
          <w:color w:val="000000"/>
          <w:lang w:val="en-GB" w:eastAsia="en-US"/>
        </w:rPr>
        <w:t>Converged charging for data connectivity in SNPN</w:t>
      </w:r>
      <w:r>
        <w:rPr>
          <w:rFonts w:hint="default" w:cs="Times New Roman"/>
          <w:color w:val="000000"/>
          <w:lang w:val="en-US" w:eastAsia="en-US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hint="default" w:ascii="Times New Roman" w:hAnsi="Times New Roman" w:eastAsia="Times New Roman" w:cs="Times New Roman"/>
          <w:color w:val="000000"/>
          <w:lang w:val="en-US" w:eastAsia="en-US"/>
        </w:rPr>
      </w:pPr>
      <w:r>
        <w:rPr>
          <w:rFonts w:ascii="Times New Roman" w:hAnsi="Times New Roman" w:eastAsia="Times New Roman" w:cs="Times New Roman"/>
          <w:color w:val="000000"/>
          <w:lang w:val="en-GB" w:eastAsia="en-US"/>
        </w:rPr>
        <w:t>-</w:t>
      </w:r>
      <w:r>
        <w:rPr>
          <w:rFonts w:ascii="Times New Roman" w:hAnsi="Times New Roman" w:eastAsia="Times New Roman" w:cs="Times New Roman"/>
          <w:color w:val="000000"/>
          <w:lang w:val="en-GB" w:eastAsia="en-US"/>
        </w:rPr>
        <w:tab/>
      </w:r>
      <w:r>
        <w:rPr>
          <w:rFonts w:hint="eastAsia" w:ascii="Times New Roman" w:hAnsi="Times New Roman" w:eastAsia="Times New Roman" w:cs="Times New Roman"/>
          <w:color w:val="000000"/>
          <w:lang w:val="en-GB" w:eastAsia="en-US"/>
        </w:rPr>
        <w:t>Converged charging for access connection in SNPN</w:t>
      </w:r>
      <w:r>
        <w:rPr>
          <w:rFonts w:hint="default" w:cs="Times New Roman"/>
          <w:color w:val="000000"/>
          <w:lang w:val="en-US" w:eastAsia="en-US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hint="default"/>
          <w:color w:val="000000"/>
          <w:lang w:val="en-US" w:eastAsia="ja-JP"/>
        </w:rPr>
      </w:pPr>
      <w:r>
        <w:rPr>
          <w:rFonts w:ascii="Times New Roman" w:hAnsi="Times New Roman" w:eastAsia="Times New Roman" w:cs="Times New Roman"/>
          <w:color w:val="000000"/>
          <w:lang w:val="en-GB" w:eastAsia="en-US"/>
        </w:rPr>
        <w:t>-</w:t>
      </w:r>
      <w:r>
        <w:rPr>
          <w:rFonts w:ascii="Times New Roman" w:hAnsi="Times New Roman" w:eastAsia="Times New Roman" w:cs="Times New Roman"/>
          <w:color w:val="000000"/>
          <w:lang w:val="en-GB" w:eastAsia="en-US"/>
        </w:rPr>
        <w:tab/>
      </w:r>
      <w:r>
        <w:rPr>
          <w:rFonts w:hint="eastAsia" w:ascii="Times New Roman" w:hAnsi="Times New Roman" w:eastAsia="Times New Roman" w:cs="Times New Roman"/>
          <w:color w:val="000000"/>
          <w:lang w:val="en-GB" w:eastAsia="en-US"/>
        </w:rPr>
        <w:t>Converged charging for data connectivity in PLMN</w:t>
      </w:r>
      <w:r>
        <w:rPr>
          <w:rFonts w:hint="default" w:cs="Times New Roman"/>
          <w:color w:val="000000"/>
          <w:lang w:val="en-US" w:eastAsia="en-US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hint="default" w:ascii="Times New Roman" w:hAnsi="Times New Roman" w:eastAsia="Times New Roman" w:cs="Times New Roman"/>
          <w:color w:val="000000"/>
          <w:lang w:val="en-US" w:eastAsia="en-US"/>
        </w:rPr>
      </w:pPr>
      <w:r>
        <w:rPr>
          <w:rFonts w:hint="eastAsia" w:ascii="Times New Roman" w:hAnsi="Times New Roman" w:eastAsia="Times New Roman" w:cs="Times New Roman"/>
          <w:color w:val="000000"/>
          <w:lang w:val="en-GB" w:eastAsia="en-US"/>
        </w:rPr>
        <w:t>-</w:t>
      </w:r>
      <w:r>
        <w:rPr>
          <w:rFonts w:hint="eastAsia" w:ascii="Times New Roman" w:hAnsi="Times New Roman" w:eastAsia="Times New Roman" w:cs="Times New Roman"/>
          <w:color w:val="000000"/>
          <w:lang w:val="en-GB" w:eastAsia="en-US"/>
        </w:rPr>
        <w:tab/>
      </w:r>
      <w:r>
        <w:rPr>
          <w:rFonts w:hint="eastAsia" w:ascii="Times New Roman" w:hAnsi="Times New Roman" w:eastAsia="Times New Roman" w:cs="Times New Roman"/>
          <w:color w:val="000000"/>
          <w:lang w:val="en-GB" w:eastAsia="en-US"/>
        </w:rPr>
        <w:t>Converged charging for access connection in PNI-NPN</w:t>
      </w:r>
      <w:r>
        <w:rPr>
          <w:rFonts w:hint="default" w:cs="Times New Roman"/>
          <w:color w:val="000000"/>
          <w:lang w:val="en-US" w:eastAsia="en-US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hint="default" w:ascii="Times New Roman" w:hAnsi="Times New Roman" w:eastAsia="Times New Roman" w:cs="Times New Roman"/>
          <w:color w:val="000000"/>
          <w:lang w:val="en-US" w:eastAsia="en-US" w:bidi="ar-SA"/>
        </w:rPr>
      </w:pPr>
      <w:r>
        <w:rPr>
          <w:rFonts w:hint="eastAsia" w:ascii="Times New Roman" w:hAnsi="Times New Roman" w:eastAsia="Times New Roman" w:cs="Times New Roman"/>
          <w:color w:val="000000"/>
          <w:lang w:val="en-GB" w:eastAsia="en-US"/>
        </w:rPr>
        <w:t>-</w:t>
      </w:r>
      <w:r>
        <w:rPr>
          <w:rFonts w:hint="eastAsia" w:ascii="Times New Roman" w:hAnsi="Times New Roman" w:eastAsia="Times New Roman" w:cs="Times New Roman"/>
          <w:color w:val="000000"/>
          <w:lang w:val="en-GB" w:eastAsia="en-US"/>
        </w:rPr>
        <w:tab/>
      </w:r>
      <w:r>
        <w:rPr>
          <w:rFonts w:hint="eastAsia" w:ascii="Times New Roman" w:hAnsi="Times New Roman" w:eastAsia="Times New Roman" w:cs="Times New Roman"/>
          <w:color w:val="000000"/>
          <w:lang w:val="en-GB" w:eastAsia="en-US"/>
        </w:rPr>
        <w:t>Converged charging for data connectivity in PNI</w:t>
      </w:r>
      <w:r>
        <w:rPr>
          <w:rFonts w:hint="eastAsia" w:ascii="Times New Roman" w:hAnsi="Times New Roman" w:eastAsia="Times New Roman" w:cs="Times New Roman"/>
          <w:color w:val="000000"/>
          <w:lang w:val="en-GB" w:eastAsia="en-US" w:bidi="ar-SA"/>
        </w:rPr>
        <w:t>-NPN</w:t>
      </w:r>
      <w:r>
        <w:rPr>
          <w:rFonts w:hint="default" w:cs="Times New Roman"/>
          <w:color w:val="000000"/>
          <w:lang w:val="en-US" w:eastAsia="en-US" w:bidi="ar-SA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color w:val="000000"/>
          <w:lang w:eastAsia="ja-JP"/>
        </w:rPr>
        <w:t>This work will be based on</w:t>
      </w:r>
      <w:r>
        <w:rPr>
          <w:rFonts w:hint="default"/>
          <w:color w:val="000000"/>
          <w:lang w:val="en-US" w:eastAsia="ja-JP"/>
        </w:rPr>
        <w:t xml:space="preserve"> </w:t>
      </w:r>
      <w:r>
        <w:rPr>
          <w:rFonts w:hint="eastAsia" w:eastAsia="Times New Roman"/>
          <w:color w:val="000000"/>
          <w:lang w:eastAsia="ja-JP"/>
        </w:rPr>
        <w:t xml:space="preserve">the corresponding conclusions documented in clauses 5.1.6, 5.2.6, 5.3.6, </w:t>
      </w:r>
      <w:r>
        <w:rPr>
          <w:rFonts w:hint="default"/>
          <w:color w:val="000000"/>
          <w:lang w:val="en-US" w:eastAsia="ja-JP"/>
        </w:rPr>
        <w:t>6</w:t>
      </w:r>
      <w:r>
        <w:rPr>
          <w:rFonts w:hint="eastAsia" w:eastAsia="Times New Roman"/>
          <w:color w:val="000000"/>
          <w:lang w:eastAsia="ja-JP"/>
        </w:rPr>
        <w:t>.</w:t>
      </w:r>
      <w:r>
        <w:rPr>
          <w:rFonts w:hint="default"/>
          <w:color w:val="000000"/>
          <w:lang w:val="en-US" w:eastAsia="ja-JP"/>
        </w:rPr>
        <w:t>1</w:t>
      </w:r>
      <w:r>
        <w:rPr>
          <w:rFonts w:hint="eastAsia" w:eastAsia="Times New Roman"/>
          <w:color w:val="000000"/>
          <w:lang w:eastAsia="ja-JP"/>
        </w:rPr>
        <w:t>.6 and 6.</w:t>
      </w:r>
      <w:r>
        <w:rPr>
          <w:rFonts w:hint="default"/>
          <w:color w:val="000000"/>
          <w:lang w:val="en-US" w:eastAsia="ja-JP"/>
        </w:rPr>
        <w:t>2</w:t>
      </w:r>
      <w:r>
        <w:rPr>
          <w:rFonts w:hint="eastAsia" w:eastAsia="Times New Roman"/>
          <w:color w:val="000000"/>
          <w:lang w:eastAsia="ja-JP"/>
        </w:rPr>
        <w:t>.6 of TR 28.828</w:t>
      </w:r>
      <w:r>
        <w:rPr>
          <w:rFonts w:hint="default"/>
          <w:color w:val="000000"/>
          <w:lang w:val="en-US" w:eastAsia="ja-JP"/>
        </w:rP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3"/>
              <w:spacing w:after="0"/>
            </w:pPr>
          </w:p>
        </w:tc>
        <w:tc>
          <w:tcPr>
            <w:tcW w:w="1134" w:type="dxa"/>
          </w:tcPr>
          <w:p>
            <w:pPr>
              <w:pStyle w:val="23"/>
              <w:spacing w:after="0"/>
            </w:pPr>
          </w:p>
        </w:tc>
        <w:tc>
          <w:tcPr>
            <w:tcW w:w="2409" w:type="dxa"/>
          </w:tcPr>
          <w:p>
            <w:pPr>
              <w:pStyle w:val="23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  <w:tc>
          <w:tcPr>
            <w:tcW w:w="993" w:type="dxa"/>
          </w:tcPr>
          <w:p>
            <w:pPr>
              <w:pStyle w:val="23"/>
              <w:spacing w:after="0"/>
            </w:pPr>
          </w:p>
        </w:tc>
        <w:tc>
          <w:tcPr>
            <w:tcW w:w="1074" w:type="dxa"/>
          </w:tcPr>
          <w:p>
            <w:pPr>
              <w:pStyle w:val="23"/>
              <w:spacing w:after="0"/>
            </w:pPr>
          </w:p>
        </w:tc>
        <w:tc>
          <w:tcPr>
            <w:tcW w:w="2186" w:type="dxa"/>
          </w:tcPr>
          <w:p>
            <w:pPr>
              <w:pStyle w:val="23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</w:pPr>
          </w:p>
        </w:tc>
        <w:tc>
          <w:tcPr>
            <w:tcW w:w="1134" w:type="dxa"/>
          </w:tcPr>
          <w:p>
            <w:pPr>
              <w:pStyle w:val="25"/>
            </w:pPr>
          </w:p>
        </w:tc>
        <w:tc>
          <w:tcPr>
            <w:tcW w:w="2409" w:type="dxa"/>
          </w:tcPr>
          <w:p>
            <w:pPr>
              <w:pStyle w:val="25"/>
            </w:pPr>
          </w:p>
        </w:tc>
        <w:tc>
          <w:tcPr>
            <w:tcW w:w="993" w:type="dxa"/>
          </w:tcPr>
          <w:p>
            <w:pPr>
              <w:pStyle w:val="25"/>
            </w:pPr>
          </w:p>
        </w:tc>
        <w:tc>
          <w:tcPr>
            <w:tcW w:w="1074" w:type="dxa"/>
          </w:tcPr>
          <w:p>
            <w:pPr>
              <w:pStyle w:val="25"/>
            </w:pPr>
          </w:p>
        </w:tc>
        <w:tc>
          <w:tcPr>
            <w:tcW w:w="2186" w:type="dxa"/>
          </w:tcPr>
          <w:p>
            <w:pPr>
              <w:pStyle w:val="25"/>
            </w:pPr>
          </w:p>
        </w:tc>
      </w:tr>
    </w:tbl>
    <w:p>
      <w:pPr>
        <w:pStyle w:val="28"/>
      </w:pPr>
    </w:p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>32.255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rFonts w:hint="eastAsia" w:ascii="Arial" w:hAnsi="Arial" w:cs="Arial"/>
                <w:i w:val="0"/>
                <w:sz w:val="18"/>
                <w:szCs w:val="18"/>
              </w:rPr>
            </w:pP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 xml:space="preserve"> SMF</w:t>
            </w: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>charging to support non-public networks charging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2</w:t>
            </w:r>
          </w:p>
          <w:p>
            <w:pPr>
              <w:pStyle w:val="25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t>(Dec</w:t>
            </w:r>
            <w:r>
              <w:rPr>
                <w:rFonts w:hint="default"/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>32.256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rFonts w:hint="eastAsia" w:ascii="Arial" w:hAnsi="Arial" w:cs="Arial"/>
                <w:i w:val="0"/>
                <w:sz w:val="18"/>
                <w:szCs w:val="18"/>
              </w:rPr>
            </w:pP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 xml:space="preserve"> AMF</w:t>
            </w: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>charging to support non-public networks charging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2</w:t>
            </w:r>
          </w:p>
          <w:p>
            <w:pPr>
              <w:pStyle w:val="25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t>(Dec</w:t>
            </w:r>
            <w:r>
              <w:rPr>
                <w:rFonts w:hint="default"/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>28.203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rFonts w:hint="eastAsia" w:ascii="Arial" w:hAnsi="Arial" w:cs="Arial"/>
                <w:i w:val="0"/>
                <w:sz w:val="18"/>
                <w:szCs w:val="18"/>
              </w:rPr>
            </w:pP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 xml:space="preserve"> n</w:t>
            </w: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>etwork slice admission control charging</w:t>
            </w: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 xml:space="preserve"> to support non-public networks charging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2</w:t>
            </w:r>
          </w:p>
          <w:p>
            <w:pPr>
              <w:pStyle w:val="25"/>
            </w:pPr>
            <w:r>
              <w:t>(Dec</w:t>
            </w:r>
            <w:r>
              <w:rPr>
                <w:rFonts w:hint="default"/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</w:pPr>
            <w:r>
              <w:t>32.291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</w:pPr>
            <w:r>
              <w:t>Update Nchf_ConvergedCharging service API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 w:eastAsiaTheme="minorEastAsia"/>
                <w:i w:val="0"/>
                <w:lang w:eastAsia="zh-CN"/>
              </w:rPr>
              <w:t>to support</w:t>
            </w:r>
            <w:r>
              <w:rPr>
                <w:rFonts w:hint="default" w:eastAsiaTheme="minorEastAsia"/>
                <w:i w:val="0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>n</w:t>
            </w:r>
            <w:r>
              <w:rPr>
                <w:rFonts w:hint="default" w:ascii="Arial" w:hAnsi="Arial"/>
                <w:i w:val="0"/>
                <w:color w:val="auto"/>
                <w:sz w:val="18"/>
                <w:lang w:val="en-US" w:eastAsia="en-GB"/>
              </w:rPr>
              <w:t>on-public networks</w:t>
            </w:r>
            <w:r>
              <w:rPr>
                <w:rFonts w:hint="default"/>
                <w:i w:val="0"/>
                <w:color w:val="auto"/>
                <w:sz w:val="18"/>
                <w:lang w:val="en-US" w:eastAsia="en-GB"/>
              </w:rPr>
              <w:t xml:space="preserve"> </w:t>
            </w:r>
            <w:r>
              <w:rPr>
                <w:rFonts w:hint="default" w:ascii="Arial" w:hAnsi="Arial"/>
                <w:i w:val="0"/>
                <w:color w:val="auto"/>
                <w:sz w:val="18"/>
                <w:lang w:val="en-US" w:eastAsia="en-GB"/>
              </w:rPr>
              <w:t>charging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3</w:t>
            </w:r>
          </w:p>
          <w:p>
            <w:pPr>
              <w:pStyle w:val="25"/>
            </w:pPr>
            <w:r>
              <w:t>(</w:t>
            </w:r>
            <w:r>
              <w:rPr>
                <w:rFonts w:hint="default"/>
                <w:lang w:val="en-US"/>
              </w:rPr>
              <w:t>Mar.</w:t>
            </w:r>
            <w:r>
              <w:t xml:space="preserve"> 202</w:t>
            </w:r>
            <w:r>
              <w:rPr>
                <w:rFonts w:hint="default"/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</w:pPr>
            <w:r>
              <w:t>32.298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rPr>
                <w:rFonts w:hint="default"/>
                <w:lang w:val="en-US"/>
              </w:rPr>
            </w:pPr>
            <w:r>
              <w:t>New CDR(s) definition and ASN.1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 w:eastAsiaTheme="minorEastAsia"/>
                <w:i w:val="0"/>
                <w:lang w:eastAsia="zh-CN"/>
              </w:rPr>
              <w:t>to support</w:t>
            </w:r>
            <w:r>
              <w:rPr>
                <w:rFonts w:hint="default" w:eastAsiaTheme="minorEastAsia"/>
                <w:i w:val="0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>n</w:t>
            </w:r>
            <w:r>
              <w:rPr>
                <w:rFonts w:hint="default" w:ascii="Arial" w:hAnsi="Arial"/>
                <w:i w:val="0"/>
                <w:color w:val="auto"/>
                <w:sz w:val="18"/>
                <w:lang w:val="en-US" w:eastAsia="en-GB"/>
              </w:rPr>
              <w:t>on-public networks</w:t>
            </w:r>
            <w:r>
              <w:rPr>
                <w:rFonts w:hint="default"/>
                <w:i w:val="0"/>
                <w:color w:val="auto"/>
                <w:sz w:val="18"/>
                <w:lang w:val="en-US" w:eastAsia="en-GB"/>
              </w:rPr>
              <w:t xml:space="preserve"> </w:t>
            </w:r>
            <w:r>
              <w:rPr>
                <w:rFonts w:hint="default" w:ascii="Arial" w:hAnsi="Arial"/>
                <w:i w:val="0"/>
                <w:color w:val="auto"/>
                <w:sz w:val="18"/>
                <w:lang w:val="en-US" w:eastAsia="en-GB"/>
              </w:rPr>
              <w:t>charging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3</w:t>
            </w:r>
          </w:p>
          <w:p>
            <w:pPr>
              <w:pStyle w:val="25"/>
            </w:pPr>
            <w:r>
              <w:t>(</w:t>
            </w:r>
            <w:r>
              <w:rPr>
                <w:rFonts w:hint="default"/>
                <w:lang w:val="en-US"/>
              </w:rPr>
              <w:t>Mar.</w:t>
            </w:r>
            <w:r>
              <w:t xml:space="preserve"> 202</w:t>
            </w:r>
            <w:r>
              <w:rPr>
                <w:rFonts w:hint="default"/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r>
        <w:rPr>
          <w:rFonts w:hint="eastAsia" w:eastAsia="Times New Roman"/>
          <w:color w:val="auto"/>
          <w:lang w:eastAsia="zh-CN"/>
        </w:rPr>
        <w:t>Chen, Ai</w:t>
      </w:r>
      <w:r>
        <w:rPr>
          <w:rFonts w:eastAsia="Times New Roman"/>
          <w:color w:val="auto"/>
          <w:lang w:eastAsia="zh-CN"/>
        </w:rPr>
        <w:t xml:space="preserve">, </w:t>
      </w:r>
      <w:r>
        <w:rPr>
          <w:rFonts w:hint="eastAsia" w:eastAsia="Times New Roman"/>
          <w:color w:val="auto"/>
          <w:lang w:eastAsia="zh-CN"/>
        </w:rPr>
        <w:t>China Mobile</w:t>
      </w:r>
      <w:r>
        <w:rPr>
          <w:rFonts w:eastAsia="Times New Roman"/>
          <w:color w:val="auto"/>
          <w:lang w:eastAsia="zh-CN"/>
        </w:rPr>
        <w:t xml:space="preserve">, </w:t>
      </w:r>
      <w:r>
        <w:rPr>
          <w:rFonts w:hint="eastAsia" w:eastAsia="Times New Roman"/>
          <w:color w:val="auto"/>
          <w:lang w:eastAsia="zh-CN"/>
        </w:rPr>
        <w:t>chenai</w:t>
      </w:r>
      <w:r>
        <w:rPr>
          <w:rFonts w:hint="eastAsia"/>
          <w:i w:val="0"/>
          <w:lang w:eastAsia="zh-CN"/>
        </w:rPr>
        <w:t xml:space="preserve"> at chinamobile dot com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r>
        <w:rPr>
          <w:rFonts w:eastAsia="宋体"/>
          <w:color w:val="auto"/>
          <w:lang w:eastAsia="en-GB"/>
        </w:rPr>
        <w:t>SA5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rPr>
          <w:rFonts w:hint="eastAsia"/>
          <w:lang w:eastAsia="zh-CN"/>
        </w:rPr>
        <w:t>None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  <w: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  <w:r>
              <w:rPr>
                <w:rFonts w:hint="eastAsia"/>
              </w:rPr>
              <w:t>Intel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eastAsia"/>
              </w:rPr>
            </w:pPr>
            <w:r>
              <w:rPr>
                <w:rFonts w:hint="eastAsia"/>
              </w:rPr>
              <w:t>MATRIXX Software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eastAsia"/>
              </w:rPr>
            </w:pPr>
            <w:r>
              <w:rPr>
                <w:rFonts w:hint="eastAsia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eastAsia"/>
              </w:rPr>
            </w:pPr>
            <w:r>
              <w:rPr>
                <w:rFonts w:hint="eastAsia"/>
              </w:rPr>
              <w:t>Nokia Shanghai Bell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eastAsia"/>
              </w:rPr>
            </w:pPr>
            <w:r>
              <w:rPr>
                <w:rFonts w:hint="eastAsia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0556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5821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2E082B"/>
    <w:rsid w:val="05963B3C"/>
    <w:rsid w:val="063B76C7"/>
    <w:rsid w:val="12054E54"/>
    <w:rsid w:val="13547182"/>
    <w:rsid w:val="1416104D"/>
    <w:rsid w:val="19663EF9"/>
    <w:rsid w:val="1E985329"/>
    <w:rsid w:val="203A4D9F"/>
    <w:rsid w:val="23355EEB"/>
    <w:rsid w:val="23C52D33"/>
    <w:rsid w:val="28D8349F"/>
    <w:rsid w:val="2B9403AB"/>
    <w:rsid w:val="2E397D62"/>
    <w:rsid w:val="2E864847"/>
    <w:rsid w:val="30AC491E"/>
    <w:rsid w:val="324A696A"/>
    <w:rsid w:val="33075722"/>
    <w:rsid w:val="33BB29E3"/>
    <w:rsid w:val="39104CA2"/>
    <w:rsid w:val="3A295895"/>
    <w:rsid w:val="3BBB619B"/>
    <w:rsid w:val="3E9A1F0D"/>
    <w:rsid w:val="40BC6981"/>
    <w:rsid w:val="419D24BC"/>
    <w:rsid w:val="43A51BA7"/>
    <w:rsid w:val="447066A5"/>
    <w:rsid w:val="45A35B3D"/>
    <w:rsid w:val="47B0598D"/>
    <w:rsid w:val="48887526"/>
    <w:rsid w:val="499A4703"/>
    <w:rsid w:val="4BE26E43"/>
    <w:rsid w:val="4D0077EE"/>
    <w:rsid w:val="4D4431FB"/>
    <w:rsid w:val="4EB2567A"/>
    <w:rsid w:val="4F141C9F"/>
    <w:rsid w:val="53B56C56"/>
    <w:rsid w:val="58D36CC6"/>
    <w:rsid w:val="58F80307"/>
    <w:rsid w:val="5940468D"/>
    <w:rsid w:val="5972053D"/>
    <w:rsid w:val="5AD960F7"/>
    <w:rsid w:val="6158619D"/>
    <w:rsid w:val="63F12CE8"/>
    <w:rsid w:val="68EE2402"/>
    <w:rsid w:val="699631C3"/>
    <w:rsid w:val="6C72547F"/>
    <w:rsid w:val="70B0728D"/>
    <w:rsid w:val="78C57304"/>
    <w:rsid w:val="7BA33820"/>
    <w:rsid w:val="7F1C57B2"/>
    <w:rsid w:val="7FA1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4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paragraph" w:customStyle="1" w:styleId="1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2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3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4">
    <w:name w:val="Heading 8 Char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5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5"/>
    <w:qFormat/>
    <w:uiPriority w:val="0"/>
    <w:pPr>
      <w:jc w:val="center"/>
    </w:pPr>
  </w:style>
  <w:style w:type="paragraph" w:customStyle="1" w:styleId="28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1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1124</Words>
  <Characters>6409</Characters>
  <Lines>53</Lines>
  <Paragraphs>15</Paragraphs>
  <TotalTime>15</TotalTime>
  <ScaleCrop>false</ScaleCrop>
  <LinksUpToDate>false</LinksUpToDate>
  <CharactersWithSpaces>7518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CMCC2</cp:lastModifiedBy>
  <cp:lastPrinted>2001-04-23T09:30:00Z</cp:lastPrinted>
  <dcterms:modified xsi:type="dcterms:W3CDTF">2023-03-03T01:18:56Z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BBEB35F0EE5349989D465E95ADE438CA</vt:lpwstr>
  </property>
  <property fmtid="{D5CDD505-2E9C-101B-9397-08002B2CF9AE}" pid="4" name="_2015_ms_pID_725343">
    <vt:lpwstr>(3)vm4J3UIxd9NJuk5N+Q2yIMUMpEu10Rz5oczCGSgrf6crpkJsQ3OHwrTlAgE+BBRodUTG2TWT
ECMqK4VqvpzwBw92LD9Eqdkmerd/HCjYEHpyr0YKz3OWWrmL2UUz8m3ZqSc/3uU8VXt7i0ue
vLrzIAUlQkXFzpquToZ2EL0mRE4e0nJV+4tvnZ33MyNJJSVy815BpyIXk306mfLMvlPZ9dIj
yycvipX/+yNlmy3qdx</vt:lpwstr>
  </property>
  <property fmtid="{D5CDD505-2E9C-101B-9397-08002B2CF9AE}" pid="5" name="_2015_ms_pID_7253431">
    <vt:lpwstr>nvOW6QxePiA0pU0e19X9y3dXU5OfqECD9qyWwZjHZ/k5H9YQ6kyHgQ
sENomo9ZqFJE0SMZKVYoapbqd02zJsON5OG8lH2g2rmDFPvuLUwVugnSax4ZZODhUy3OXbzK
XZMOymvZ3TKUQq4Wi4skSIW1pxP+YWRccejDrD6w2s2TSkABnYgDkUEK2+RXTpjGUqncywTq
BkRYmpyaKZJOtjIb7U8AlK724PMFnFODlPDX</vt:lpwstr>
  </property>
  <property fmtid="{D5CDD505-2E9C-101B-9397-08002B2CF9AE}" pid="6" name="_2015_ms_pID_7253432">
    <vt:lpwstr>FQ==</vt:lpwstr>
  </property>
</Properties>
</file>